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4B6B8C09"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 xml:space="preserve">Pigmented, </w:t>
      </w:r>
      <w:proofErr w:type="gramStart"/>
      <w:r w:rsidR="00EC7951">
        <w:rPr>
          <w:rFonts w:ascii="Times New Roman" w:hAnsi="Times New Roman"/>
          <w:b/>
          <w:color w:val="000000"/>
          <w:u w:val="single"/>
        </w:rPr>
        <w:t>Four</w:t>
      </w:r>
      <w:proofErr w:type="gramEnd"/>
      <w:r w:rsidRPr="00004B2D">
        <w:rPr>
          <w:rFonts w:ascii="Times New Roman" w:hAnsi="Times New Roman"/>
          <w:b/>
          <w:color w:val="000000"/>
          <w:u w:val="single"/>
        </w:rPr>
        <w:t xml:space="preserve"> (</w:t>
      </w:r>
      <w:r w:rsidR="00EC7951">
        <w:rPr>
          <w:rFonts w:ascii="Times New Roman" w:hAnsi="Times New Roman"/>
          <w:b/>
          <w:color w:val="000000"/>
          <w:u w:val="single"/>
        </w:rPr>
        <w:t>4</w:t>
      </w:r>
      <w:r w:rsidRPr="00004B2D">
        <w:rPr>
          <w:rFonts w:ascii="Times New Roman" w:hAnsi="Times New Roman"/>
          <w:b/>
          <w:color w:val="000000"/>
          <w:u w:val="single"/>
        </w:rPr>
        <w:t>”) inches thick, yielding a</w:t>
      </w:r>
      <w:r w:rsidR="003B12DC">
        <w:rPr>
          <w:rFonts w:ascii="Times New Roman" w:hAnsi="Times New Roman"/>
          <w:b/>
          <w:color w:val="000000"/>
          <w:u w:val="single"/>
        </w:rPr>
        <w:t xml:space="preserve"> t</w:t>
      </w:r>
      <w:r w:rsidR="00EC7951">
        <w:rPr>
          <w:rFonts w:ascii="Times New Roman" w:hAnsi="Times New Roman"/>
          <w:b/>
          <w:color w:val="000000"/>
          <w:u w:val="single"/>
        </w:rPr>
        <w:t>welve</w:t>
      </w:r>
      <w:r w:rsidR="001E6339">
        <w:rPr>
          <w:rFonts w:ascii="Times New Roman" w:hAnsi="Times New Roman"/>
          <w:b/>
          <w:color w:val="000000"/>
          <w:u w:val="single"/>
        </w:rPr>
        <w:t xml:space="preserve"> </w:t>
      </w:r>
      <w:r w:rsidRPr="00004B2D">
        <w:rPr>
          <w:rFonts w:ascii="Times New Roman" w:hAnsi="Times New Roman"/>
          <w:b/>
          <w:color w:val="000000"/>
          <w:u w:val="single"/>
        </w:rPr>
        <w:t>(</w:t>
      </w:r>
      <w:r w:rsidR="003B12DC">
        <w:rPr>
          <w:rFonts w:ascii="Times New Roman" w:hAnsi="Times New Roman"/>
          <w:b/>
          <w:color w:val="000000"/>
          <w:u w:val="single"/>
        </w:rPr>
        <w:t>1</w:t>
      </w:r>
      <w:r w:rsidR="00EC7951">
        <w:rPr>
          <w:rFonts w:ascii="Times New Roman" w:hAnsi="Times New Roman"/>
          <w:b/>
          <w:color w:val="000000"/>
          <w:u w:val="single"/>
        </w:rPr>
        <w:t>2</w:t>
      </w:r>
      <w:r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278D35B0"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Pigmented, </w:t>
      </w:r>
      <w:r w:rsidR="00EC7951">
        <w:rPr>
          <w:rFonts w:ascii="Times New Roman" w:hAnsi="Times New Roman"/>
        </w:rPr>
        <w:t>4</w:t>
      </w:r>
      <w:r w:rsidR="001E6339">
        <w:rPr>
          <w:rFonts w:ascii="Times New Roman" w:hAnsi="Times New Roman"/>
        </w:rPr>
        <w:t>”</w:t>
      </w:r>
      <w:r w:rsidRPr="00004B2D">
        <w:rPr>
          <w:rFonts w:ascii="Times New Roman" w:hAnsi="Times New Roman"/>
        </w:rPr>
        <w:t xml:space="preserve"> thick “</w:t>
      </w:r>
      <w:r w:rsidR="00EC7951">
        <w:rPr>
          <w:rFonts w:ascii="Times New Roman" w:hAnsi="Times New Roman"/>
        </w:rPr>
        <w:t>XL”</w:t>
      </w:r>
      <w:r w:rsidRPr="00004B2D">
        <w:rPr>
          <w:rFonts w:ascii="Times New Roman" w:hAnsi="Times New Roman"/>
        </w:rPr>
        <w:t xml:space="preserve"> 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4D3EA7">
        <w:rPr>
          <w:rFonts w:ascii="Times New Roman" w:hAnsi="Times New Roman"/>
          <w:lang w:val="en"/>
        </w:rPr>
        <w:t>a</w:t>
      </w:r>
      <w:r w:rsidR="003B12DC">
        <w:rPr>
          <w:rFonts w:ascii="Times New Roman" w:hAnsi="Times New Roman"/>
          <w:lang w:val="en"/>
        </w:rPr>
        <w:t xml:space="preserve"> t</w:t>
      </w:r>
      <w:r w:rsidR="00EC7951">
        <w:rPr>
          <w:rFonts w:ascii="Times New Roman" w:hAnsi="Times New Roman"/>
          <w:lang w:val="en"/>
        </w:rPr>
        <w:t>welve</w:t>
      </w:r>
      <w:r w:rsidR="003B12DC">
        <w:rPr>
          <w:rFonts w:ascii="Times New Roman" w:hAnsi="Times New Roman"/>
          <w:lang w:val="en"/>
        </w:rPr>
        <w:t xml:space="preserve"> </w:t>
      </w:r>
      <w:r w:rsidR="004D3EA7">
        <w:rPr>
          <w:rFonts w:ascii="Times New Roman" w:hAnsi="Times New Roman"/>
          <w:lang w:val="en"/>
        </w:rPr>
        <w:t>(</w:t>
      </w:r>
      <w:r w:rsidR="003B12DC">
        <w:rPr>
          <w:rFonts w:ascii="Times New Roman" w:hAnsi="Times New Roman"/>
          <w:lang w:val="en"/>
        </w:rPr>
        <w:t>1</w:t>
      </w:r>
      <w:r w:rsidR="00EC7951">
        <w:rPr>
          <w:rFonts w:ascii="Times New Roman" w:hAnsi="Times New Roman"/>
          <w:lang w:val="en"/>
        </w:rPr>
        <w:t>2</w:t>
      </w:r>
      <w:r w:rsidR="004D3EA7">
        <w:rPr>
          <w:rFonts w:ascii="Times New Roman" w:hAnsi="Times New Roman"/>
          <w:lang w:val="en"/>
        </w:rPr>
        <w:t xml:space="preserve">’) </w:t>
      </w:r>
      <w:r w:rsidR="00004B2D">
        <w:rPr>
          <w:rFonts w:ascii="Times New Roman" w:hAnsi="Times New Roman"/>
          <w:lang w:val="en"/>
        </w:rPr>
        <w:t>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5A66415D"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1E6339">
        <w:rPr>
          <w:rFonts w:ascii="Times New Roman" w:hAnsi="Times New Roman"/>
          <w:color w:val="000000"/>
        </w:rPr>
        <w:t>Three</w:t>
      </w:r>
      <w:r w:rsidRPr="00004B2D">
        <w:rPr>
          <w:rFonts w:ascii="Times New Roman" w:hAnsi="Times New Roman"/>
          <w:color w:val="000000"/>
        </w:rPr>
        <w:t xml:space="preserve"> </w:t>
      </w:r>
      <w:r w:rsidR="003B12DC">
        <w:rPr>
          <w:rFonts w:ascii="Times New Roman" w:hAnsi="Times New Roman"/>
          <w:color w:val="000000"/>
        </w:rPr>
        <w:t xml:space="preserve">and a half </w:t>
      </w:r>
      <w:r w:rsidRPr="00004B2D">
        <w:rPr>
          <w:rFonts w:ascii="Times New Roman" w:hAnsi="Times New Roman"/>
          <w:color w:val="000000"/>
        </w:rPr>
        <w:t>(</w:t>
      </w:r>
      <w:r w:rsidR="00EC7951">
        <w:rPr>
          <w:rFonts w:ascii="Times New Roman" w:hAnsi="Times New Roman"/>
          <w:color w:val="000000"/>
        </w:rPr>
        <w:t>4”</w:t>
      </w:r>
      <w:r w:rsidRPr="00004B2D">
        <w:rPr>
          <w:rFonts w:ascii="Times New Roman" w:hAnsi="Times New Roman"/>
          <w:color w:val="000000"/>
        </w:rPr>
        <w:t>) inch thick “</w:t>
      </w:r>
      <w:r w:rsidR="00EC7951">
        <w:rPr>
          <w:rFonts w:ascii="Times New Roman" w:hAnsi="Times New Roman"/>
          <w:color w:val="000000"/>
        </w:rPr>
        <w:t>XL</w:t>
      </w:r>
      <w:r w:rsidR="003B12DC">
        <w:rPr>
          <w:rFonts w:ascii="Times New Roman" w:hAnsi="Times New Roman"/>
          <w:color w:val="000000"/>
        </w:rPr>
        <w:t xml:space="preserve"> </w:t>
      </w:r>
      <w:r w:rsidR="00EC7951">
        <w:rPr>
          <w:rFonts w:ascii="Times New Roman" w:hAnsi="Times New Roman"/>
          <w:color w:val="000000"/>
        </w:rPr>
        <w:t>4”</w:t>
      </w:r>
      <w:r w:rsidRPr="00004B2D">
        <w:rPr>
          <w:rFonts w:ascii="Times New Roman" w:hAnsi="Times New Roman"/>
          <w:color w:val="000000"/>
        </w:rPr>
        <w:t xml:space="preserve"> 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4F07076A"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CC51F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37507786"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Design &amp; Detailing – The “</w:t>
      </w:r>
      <w:r w:rsidR="00EC7951">
        <w:rPr>
          <w:rFonts w:ascii="Times New Roman" w:hAnsi="Times New Roman"/>
          <w:color w:val="000000"/>
        </w:rPr>
        <w:t>XL</w:t>
      </w:r>
      <w:r w:rsidRPr="00004B2D">
        <w:rPr>
          <w:rFonts w:ascii="Times New Roman" w:hAnsi="Times New Roman"/>
          <w:color w:val="000000"/>
        </w:rPr>
        <w:t xml:space="preserve">” series </w:t>
      </w:r>
      <w:r w:rsidR="00004B2D">
        <w:rPr>
          <w:rFonts w:ascii="Times New Roman" w:hAnsi="Times New Roman"/>
          <w:color w:val="000000"/>
        </w:rPr>
        <w:t>shall be</w:t>
      </w:r>
      <w:r w:rsidRPr="00004B2D">
        <w:rPr>
          <w:rFonts w:ascii="Times New Roman" w:hAnsi="Times New Roman"/>
          <w:color w:val="000000"/>
        </w:rPr>
        <w:t xml:space="preserve"> </w:t>
      </w:r>
      <w:r w:rsidR="00EC7951">
        <w:rPr>
          <w:rFonts w:ascii="Times New Roman" w:hAnsi="Times New Roman"/>
          <w:color w:val="000000"/>
        </w:rPr>
        <w:t>four</w:t>
      </w:r>
      <w:r w:rsidR="003B12DC">
        <w:rPr>
          <w:rFonts w:ascii="Times New Roman" w:hAnsi="Times New Roman"/>
          <w:color w:val="000000"/>
        </w:rPr>
        <w:t xml:space="preserve"> </w:t>
      </w:r>
      <w:r w:rsidRPr="00004B2D">
        <w:rPr>
          <w:rFonts w:ascii="Times New Roman" w:hAnsi="Times New Roman"/>
          <w:color w:val="000000"/>
        </w:rPr>
        <w:t>(</w:t>
      </w:r>
      <w:r w:rsidR="00EC7951">
        <w:rPr>
          <w:rFonts w:ascii="Times New Roman" w:hAnsi="Times New Roman"/>
          <w:color w:val="000000"/>
        </w:rPr>
        <w:t>4”</w:t>
      </w:r>
      <w:r w:rsidRPr="00004B2D">
        <w:rPr>
          <w:rFonts w:ascii="Times New Roman" w:hAnsi="Times New Roman"/>
          <w:color w:val="000000"/>
        </w:rPr>
        <w:t>) inch thick utilized in the safety zones under and around all areas, etc. as an impact absorbing resilient unitary rubberized safety surfacing, flooring and paver application. “</w:t>
      </w:r>
      <w:r w:rsidR="00EC7951">
        <w:rPr>
          <w:rFonts w:ascii="Times New Roman" w:hAnsi="Times New Roman"/>
          <w:color w:val="000000"/>
        </w:rPr>
        <w:t>XL</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7FEEC0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CC51F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1008132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CC51F0" w:rsidRPr="00004B2D">
        <w:rPr>
          <w:rFonts w:ascii="Times New Roman" w:hAnsi="Times New Roman"/>
          <w:color w:val="000000"/>
        </w:rPr>
        <w:t xml:space="preserve">greater </w:t>
      </w:r>
      <w:r w:rsidR="00CC51F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747A12C4"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w:t>
      </w:r>
      <w:r w:rsidR="00EC7951">
        <w:rPr>
          <w:rFonts w:ascii="Times New Roman" w:hAnsi="Times New Roman"/>
          <w:color w:val="000000"/>
        </w:rPr>
        <w:t>XL”</w:t>
      </w:r>
      <w:r w:rsidRPr="00004B2D">
        <w:rPr>
          <w:rFonts w:ascii="Times New Roman" w:hAnsi="Times New Roman"/>
          <w:color w:val="000000"/>
        </w:rPr>
        <w:t xml:space="preserve">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CC51F0">
        <w:rPr>
          <w:rFonts w:ascii="Times New Roman" w:hAnsi="Times New Roman"/>
          <w:color w:val="000000"/>
        </w:rPr>
        <w:t>years</w:t>
      </w:r>
      <w:r w:rsidR="00CC51F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44D40B7E"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EC7951">
        <w:rPr>
          <w:rFonts w:ascii="Times New Roman" w:hAnsi="Times New Roman"/>
          <w:color w:val="000000"/>
        </w:rPr>
        <w:t>XL”</w:t>
      </w:r>
      <w:r w:rsidRPr="00004B2D">
        <w:rPr>
          <w:rFonts w:ascii="Times New Roman" w:hAnsi="Times New Roman"/>
          <w:color w:val="000000"/>
        </w:rPr>
        <w:t xml:space="preserve">. 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proofErr w:type="spellStart"/>
      <w:r w:rsidRPr="00004B2D">
        <w:rPr>
          <w:rFonts w:ascii="Times New Roman" w:hAnsi="Times New Roman"/>
          <w:lang w:val="fr-FR"/>
        </w:rPr>
        <w:t>Hicksville</w:t>
      </w:r>
      <w:proofErr w:type="spellEnd"/>
      <w:r w:rsidRPr="00004B2D">
        <w:rPr>
          <w:rFonts w:ascii="Times New Roman" w:hAnsi="Times New Roman"/>
          <w:lang w:val="fr-FR"/>
        </w:rPr>
        <w:t>,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proofErr w:type="spellStart"/>
      <w:r w:rsidRPr="00004B2D">
        <w:rPr>
          <w:rFonts w:ascii="Times New Roman" w:hAnsi="Times New Roman"/>
          <w:lang w:val="fr-FR"/>
        </w:rPr>
        <w:t>Saugerties</w:t>
      </w:r>
      <w:proofErr w:type="spellEnd"/>
      <w:r w:rsidRPr="00004B2D">
        <w:rPr>
          <w:rFonts w:ascii="Times New Roman" w:hAnsi="Times New Roman"/>
          <w:lang w:val="fr-FR"/>
        </w:rPr>
        <w:t>,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T:</w:t>
      </w:r>
      <w:proofErr w:type="gramEnd"/>
      <w:r w:rsidRPr="00004B2D">
        <w:rPr>
          <w:rFonts w:ascii="Times New Roman" w:hAnsi="Times New Roman"/>
          <w:lang w:val="fr-FR"/>
        </w:rPr>
        <w:t xml:space="preserve">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F:</w:t>
      </w:r>
      <w:proofErr w:type="gramEnd"/>
      <w:r w:rsidRPr="00004B2D">
        <w:rPr>
          <w:rFonts w:ascii="Times New Roman" w:hAnsi="Times New Roman"/>
          <w:lang w:val="fr-FR"/>
        </w:rPr>
        <w:t xml:space="preserve">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6850E7FF"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w:t>
      </w:r>
      <w:r w:rsidR="006E7CB3">
        <w:rPr>
          <w:rFonts w:ascii="Times New Roman" w:hAnsi="Times New Roman"/>
          <w:color w:val="000000"/>
        </w:rPr>
        <w:t>5</w:t>
      </w:r>
      <w:r w:rsidR="00EC7951">
        <w:rPr>
          <w:rFonts w:ascii="Times New Roman" w:hAnsi="Times New Roman"/>
          <w:color w:val="000000"/>
        </w:rPr>
        <w:t>4</w:t>
      </w:r>
      <w:r w:rsidR="00003A31">
        <w:rPr>
          <w:rFonts w:ascii="Times New Roman" w:hAnsi="Times New Roman"/>
          <w:color w:val="000000"/>
        </w:rPr>
        <w:t>lbs per unit/~</w:t>
      </w:r>
      <w:r w:rsidR="00EC7951">
        <w:rPr>
          <w:rFonts w:ascii="Times New Roman" w:hAnsi="Times New Roman"/>
          <w:color w:val="000000"/>
        </w:rPr>
        <w:t>8</w:t>
      </w:r>
      <w:r w:rsidR="00003A31">
        <w:rPr>
          <w:rFonts w:ascii="Times New Roman" w:hAnsi="Times New Roman"/>
          <w:color w:val="000000"/>
        </w:rPr>
        <w:t xml:space="preserve"> </w:t>
      </w:r>
      <w:r w:rsidR="00CC51F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EC7951">
        <w:rPr>
          <w:rFonts w:ascii="Times New Roman" w:hAnsi="Times New Roman"/>
          <w:color w:val="000000"/>
        </w:rPr>
        <w:t>four</w:t>
      </w:r>
      <w:r w:rsidR="003B12DC">
        <w:rPr>
          <w:rFonts w:ascii="Times New Roman" w:hAnsi="Times New Roman"/>
          <w:color w:val="000000"/>
        </w:rPr>
        <w:t xml:space="preserve"> </w:t>
      </w:r>
      <w:r w:rsidRPr="00004B2D">
        <w:rPr>
          <w:rFonts w:ascii="Times New Roman" w:hAnsi="Times New Roman"/>
          <w:color w:val="000000"/>
        </w:rPr>
        <w:t>(</w:t>
      </w:r>
      <w:r w:rsidR="00EC7951">
        <w:rPr>
          <w:rFonts w:ascii="Times New Roman" w:hAnsi="Times New Roman"/>
          <w:color w:val="000000"/>
        </w:rPr>
        <w:t>4”</w:t>
      </w:r>
      <w:r w:rsidRPr="00004B2D">
        <w:rPr>
          <w:rFonts w:ascii="Times New Roman" w:hAnsi="Times New Roman"/>
          <w:color w:val="000000"/>
        </w:rPr>
        <w:t xml:space="preserve">) inch thick for the </w:t>
      </w:r>
      <w:bookmarkStart w:id="2" w:name="OLE_LINK4"/>
      <w:bookmarkStart w:id="3" w:name="OLE_LINK5"/>
      <w:bookmarkStart w:id="4" w:name="OLE_LINK6"/>
      <w:r w:rsidRPr="00004B2D">
        <w:rPr>
          <w:rFonts w:ascii="Times New Roman" w:hAnsi="Times New Roman"/>
          <w:color w:val="000000"/>
        </w:rPr>
        <w:t>“</w:t>
      </w:r>
      <w:r w:rsidR="00EC7951">
        <w:rPr>
          <w:rFonts w:ascii="Times New Roman" w:hAnsi="Times New Roman"/>
          <w:color w:val="000000"/>
        </w:rPr>
        <w:t>XL”</w:t>
      </w:r>
      <w:r w:rsidRPr="00004B2D">
        <w:rPr>
          <w:rFonts w:ascii="Times New Roman" w:hAnsi="Times New Roman"/>
          <w:color w:val="000000"/>
        </w:rPr>
        <w:t xml:space="preserve"> </w:t>
      </w:r>
      <w:bookmarkEnd w:id="2"/>
      <w:bookmarkEnd w:id="3"/>
      <w:bookmarkEnd w:id="4"/>
      <w:r w:rsidRPr="00004B2D">
        <w:rPr>
          <w:rFonts w:ascii="Times New Roman" w:hAnsi="Times New Roman"/>
          <w:color w:val="000000"/>
        </w:rPr>
        <w:t>series to meet a</w:t>
      </w:r>
      <w:r w:rsidR="003B12DC">
        <w:rPr>
          <w:rFonts w:ascii="Times New Roman" w:hAnsi="Times New Roman"/>
          <w:color w:val="000000"/>
        </w:rPr>
        <w:t xml:space="preserve"> t</w:t>
      </w:r>
      <w:r w:rsidR="00EC7951">
        <w:rPr>
          <w:rFonts w:ascii="Times New Roman" w:hAnsi="Times New Roman"/>
          <w:color w:val="000000"/>
        </w:rPr>
        <w:t>welve</w:t>
      </w:r>
      <w:r w:rsidR="003B12DC">
        <w:rPr>
          <w:rFonts w:ascii="Times New Roman" w:hAnsi="Times New Roman"/>
          <w:color w:val="000000"/>
        </w:rPr>
        <w:t xml:space="preserve"> </w:t>
      </w:r>
      <w:r w:rsidRPr="00004B2D">
        <w:rPr>
          <w:rFonts w:ascii="Times New Roman" w:hAnsi="Times New Roman"/>
          <w:color w:val="000000"/>
        </w:rPr>
        <w:t>(</w:t>
      </w:r>
      <w:r w:rsidR="003B12DC">
        <w:rPr>
          <w:rFonts w:ascii="Times New Roman" w:hAnsi="Times New Roman"/>
          <w:color w:val="000000"/>
        </w:rPr>
        <w:t>1</w:t>
      </w:r>
      <w:r w:rsidR="00EC7951">
        <w:rPr>
          <w:rFonts w:ascii="Times New Roman" w:hAnsi="Times New Roman"/>
          <w:color w:val="000000"/>
        </w:rPr>
        <w:t>2</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2ED976E9"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w:t>
      </w:r>
      <w:bookmarkStart w:id="5" w:name="OLE_LINK1"/>
      <w:bookmarkStart w:id="6" w:name="OLE_LINK2"/>
      <w:bookmarkStart w:id="7" w:name="OLE_LINK3"/>
      <w:r w:rsidRPr="00004B2D">
        <w:rPr>
          <w:rFonts w:ascii="Times New Roman" w:hAnsi="Times New Roman"/>
          <w:color w:val="000000"/>
        </w:rPr>
        <w:t>a</w:t>
      </w:r>
      <w:r w:rsidR="003B12DC">
        <w:rPr>
          <w:rFonts w:ascii="Times New Roman" w:hAnsi="Times New Roman"/>
          <w:color w:val="000000"/>
        </w:rPr>
        <w:t xml:space="preserve"> t</w:t>
      </w:r>
      <w:r w:rsidR="00EC7951">
        <w:rPr>
          <w:rFonts w:ascii="Times New Roman" w:hAnsi="Times New Roman"/>
          <w:color w:val="000000"/>
        </w:rPr>
        <w:t>welve</w:t>
      </w:r>
      <w:r w:rsidR="001E6339">
        <w:rPr>
          <w:rFonts w:ascii="Times New Roman" w:hAnsi="Times New Roman"/>
          <w:color w:val="000000"/>
        </w:rPr>
        <w:t xml:space="preserve"> </w:t>
      </w:r>
      <w:r w:rsidRPr="00004B2D">
        <w:rPr>
          <w:rFonts w:ascii="Times New Roman" w:hAnsi="Times New Roman"/>
          <w:color w:val="000000"/>
        </w:rPr>
        <w:t>(</w:t>
      </w:r>
      <w:r w:rsidR="003B12DC">
        <w:rPr>
          <w:rFonts w:ascii="Times New Roman" w:hAnsi="Times New Roman"/>
          <w:color w:val="000000"/>
        </w:rPr>
        <w:t>1</w:t>
      </w:r>
      <w:r w:rsidR="00EC7951">
        <w:rPr>
          <w:rFonts w:ascii="Times New Roman" w:hAnsi="Times New Roman"/>
          <w:color w:val="000000"/>
        </w:rPr>
        <w:t>2</w:t>
      </w:r>
      <w:r w:rsidRPr="00004B2D">
        <w:rPr>
          <w:rFonts w:ascii="Times New Roman" w:hAnsi="Times New Roman"/>
          <w:color w:val="000000"/>
        </w:rPr>
        <w:t xml:space="preserve">’) </w:t>
      </w:r>
      <w:bookmarkEnd w:id="5"/>
      <w:bookmarkEnd w:id="6"/>
      <w:bookmarkEnd w:id="7"/>
      <w:r w:rsidRPr="00004B2D">
        <w:rPr>
          <w:rFonts w:ascii="Times New Roman" w:hAnsi="Times New Roman"/>
          <w:color w:val="000000"/>
        </w:rPr>
        <w:t>foot fall rating;</w:t>
      </w:r>
    </w:p>
    <w:p w14:paraId="3CEC67F0" w14:textId="1E129104"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w:t>
      </w:r>
      <w:r w:rsidR="003B12DC" w:rsidRPr="00004B2D">
        <w:rPr>
          <w:rFonts w:ascii="Times New Roman" w:hAnsi="Times New Roman"/>
          <w:color w:val="000000"/>
        </w:rPr>
        <w:t>a</w:t>
      </w:r>
      <w:r w:rsidR="003B12DC">
        <w:rPr>
          <w:rFonts w:ascii="Times New Roman" w:hAnsi="Times New Roman"/>
          <w:color w:val="000000"/>
        </w:rPr>
        <w:t xml:space="preserve"> t</w:t>
      </w:r>
      <w:r w:rsidR="00EC7951">
        <w:rPr>
          <w:rFonts w:ascii="Times New Roman" w:hAnsi="Times New Roman"/>
          <w:color w:val="000000"/>
        </w:rPr>
        <w:t>welve</w:t>
      </w:r>
      <w:r w:rsidR="003B12DC">
        <w:rPr>
          <w:rFonts w:ascii="Times New Roman" w:hAnsi="Times New Roman"/>
          <w:color w:val="000000"/>
        </w:rPr>
        <w:t xml:space="preserve"> </w:t>
      </w:r>
      <w:r w:rsidR="003B12DC" w:rsidRPr="00004B2D">
        <w:rPr>
          <w:rFonts w:ascii="Times New Roman" w:hAnsi="Times New Roman"/>
          <w:color w:val="000000"/>
        </w:rPr>
        <w:t>(</w:t>
      </w:r>
      <w:r w:rsidR="003B12DC">
        <w:rPr>
          <w:rFonts w:ascii="Times New Roman" w:hAnsi="Times New Roman"/>
          <w:color w:val="000000"/>
        </w:rPr>
        <w:t>1</w:t>
      </w:r>
      <w:r w:rsidR="00EC7951">
        <w:rPr>
          <w:rFonts w:ascii="Times New Roman" w:hAnsi="Times New Roman"/>
          <w:color w:val="000000"/>
        </w:rPr>
        <w:t>2</w:t>
      </w:r>
      <w:r w:rsidR="003B12DC" w:rsidRPr="00004B2D">
        <w:rPr>
          <w:rFonts w:ascii="Times New Roman" w:hAnsi="Times New Roman"/>
          <w:color w:val="000000"/>
        </w:rPr>
        <w:t xml:space="preserve">’) </w:t>
      </w:r>
      <w:r w:rsidRPr="00004B2D">
        <w:rPr>
          <w:rFonts w:ascii="Times New Roman" w:hAnsi="Times New Roman"/>
          <w:color w:val="000000"/>
        </w:rPr>
        <w:t>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026C6A3B"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E046E9">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7C083A4E"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CC51F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w:t>
      </w:r>
      <w:proofErr w:type="spellStart"/>
      <w:r w:rsidRPr="00004B2D">
        <w:rPr>
          <w:rFonts w:ascii="Times New Roman" w:hAnsi="Times New Roman"/>
          <w:lang w:val="en"/>
        </w:rPr>
        <w:t>Mpa</w:t>
      </w:r>
      <w:proofErr w:type="spellEnd"/>
      <w:r w:rsidRPr="00004B2D">
        <w:rPr>
          <w:rFonts w:ascii="Times New Roman" w:hAnsi="Times New Roman"/>
          <w:lang w:val="en"/>
        </w:rPr>
        <w:t xml:space="preserve">. Tensile Strength at Break: 0.76 </w:t>
      </w:r>
      <w:proofErr w:type="spellStart"/>
      <w:r w:rsidRPr="00004B2D">
        <w:rPr>
          <w:rFonts w:ascii="Times New Roman" w:hAnsi="Times New Roman"/>
          <w:lang w:val="en"/>
        </w:rPr>
        <w:t>Mpa</w:t>
      </w:r>
      <w:proofErr w:type="spellEnd"/>
      <w:r w:rsidRPr="00004B2D">
        <w:rPr>
          <w:rFonts w:ascii="Times New Roman" w:hAnsi="Times New Roman"/>
          <w:lang w:val="en"/>
        </w:rPr>
        <w:t xml:space="preserve">. Elongation: 71.5%. Elongation at Break: 92.4%. Modulus: 3.49 </w:t>
      </w:r>
      <w:proofErr w:type="spellStart"/>
      <w:r w:rsidRPr="00004B2D">
        <w:rPr>
          <w:rFonts w:ascii="Times New Roman" w:hAnsi="Times New Roman"/>
          <w:lang w:val="en"/>
        </w:rPr>
        <w:t>Mpa</w:t>
      </w:r>
      <w:proofErr w:type="spellEnd"/>
      <w:r w:rsidRPr="00004B2D">
        <w:rPr>
          <w:rFonts w:ascii="Times New Roman" w:hAnsi="Times New Roman"/>
          <w:lang w:val="en"/>
        </w:rPr>
        <w:t xml:space="preserve"> </w:t>
      </w:r>
      <w:r w:rsidRPr="00004B2D">
        <w:rPr>
          <w:rFonts w:ascii="Times New Roman" w:hAnsi="Times New Roman"/>
          <w:b/>
          <w:u w:val="single"/>
          <w:lang w:val="en"/>
        </w:rPr>
        <w:t>Tear Resistance (ASTM 624), [N] &amp;</w:t>
      </w:r>
      <w:r w:rsidR="00CC51F0">
        <w:rPr>
          <w:rFonts w:ascii="Times New Roman" w:hAnsi="Times New Roman"/>
          <w:b/>
          <w:u w:val="single"/>
          <w:lang w:val="en"/>
        </w:rPr>
        <w:t xml:space="preserve"> </w:t>
      </w:r>
      <w:r w:rsidRPr="00004B2D">
        <w:rPr>
          <w:rFonts w:ascii="Times New Roman" w:hAnsi="Times New Roman"/>
          <w:b/>
          <w:u w:val="single"/>
          <w:lang w:val="en"/>
        </w:rPr>
        <w:t>[</w:t>
      </w:r>
      <w:proofErr w:type="spellStart"/>
      <w:r w:rsidRPr="00004B2D">
        <w:rPr>
          <w:rFonts w:ascii="Times New Roman" w:hAnsi="Times New Roman"/>
          <w:b/>
          <w:u w:val="single"/>
          <w:lang w:val="en"/>
        </w:rPr>
        <w:t>kNm</w:t>
      </w:r>
      <w:proofErr w:type="spellEnd"/>
      <w:r w:rsidRPr="00004B2D">
        <w:rPr>
          <w:rFonts w:ascii="Times New Roman" w:hAnsi="Times New Roman"/>
          <w:b/>
          <w:u w:val="single"/>
          <w:lang w:val="en"/>
        </w:rPr>
        <w:t>]:</w:t>
      </w:r>
      <w:r w:rsidRPr="00004B2D">
        <w:rPr>
          <w:rFonts w:ascii="Times New Roman" w:hAnsi="Times New Roman"/>
          <w:lang w:val="en"/>
        </w:rPr>
        <w:t xml:space="preserve"> Peak Tearing Load: 156 N. Peak Tearing Strength: 11.3 </w:t>
      </w:r>
      <w:proofErr w:type="spellStart"/>
      <w:r w:rsidRPr="00004B2D">
        <w:rPr>
          <w:rFonts w:ascii="Times New Roman" w:hAnsi="Times New Roman"/>
          <w:lang w:val="en"/>
        </w:rPr>
        <w:t>kNm</w:t>
      </w:r>
      <w:proofErr w:type="spellEnd"/>
      <w:r w:rsidRPr="00004B2D">
        <w:rPr>
          <w:rFonts w:ascii="Times New Roman" w:hAnsi="Times New Roman"/>
          <w:lang w:val="en"/>
        </w:rPr>
        <w:t xml:space="preserve">. </w:t>
      </w:r>
      <w:r w:rsidRPr="00004B2D">
        <w:rPr>
          <w:rFonts w:ascii="Times New Roman" w:hAnsi="Times New Roman"/>
          <w:b/>
          <w:u w:val="single"/>
          <w:lang w:val="en"/>
        </w:rPr>
        <w:t xml:space="preserve">Taber Abrasion Index (ASTM </w:t>
      </w:r>
      <w:r w:rsidR="004C115F">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1D949F"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w:t>
      </w:r>
      <w:proofErr w:type="spellStart"/>
      <w:r w:rsidRPr="00004B2D">
        <w:rPr>
          <w:rFonts w:ascii="Times New Roman" w:hAnsi="Times New Roman"/>
          <w:b/>
          <w:u w:val="single"/>
          <w:lang w:val="en"/>
        </w:rPr>
        <w:t>kN</w:t>
      </w:r>
      <w:proofErr w:type="spellEnd"/>
      <w:r w:rsidRPr="00004B2D">
        <w:rPr>
          <w:rFonts w:ascii="Times New Roman" w:hAnsi="Times New Roman"/>
          <w:b/>
          <w:u w:val="single"/>
          <w:lang w:val="en"/>
        </w:rPr>
        <w:t>] &amp;</w:t>
      </w:r>
      <w:r w:rsidR="00CC51F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w:t>
      </w:r>
      <w:proofErr w:type="spellStart"/>
      <w:r w:rsidRPr="00004B2D">
        <w:rPr>
          <w:rFonts w:ascii="Times New Roman" w:hAnsi="Times New Roman"/>
          <w:lang w:val="en"/>
        </w:rPr>
        <w:t>kN</w:t>
      </w:r>
      <w:r w:rsidR="00F97846" w:rsidRPr="00004B2D">
        <w:rPr>
          <w:rFonts w:ascii="Times New Roman" w:hAnsi="Times New Roman"/>
          <w:lang w:val="en"/>
        </w:rPr>
        <w:t>.</w:t>
      </w:r>
      <w:proofErr w:type="spellEnd"/>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w:t>
      </w:r>
      <w:proofErr w:type="spellStart"/>
      <w:r w:rsidRPr="00004B2D">
        <w:rPr>
          <w:rFonts w:ascii="Times New Roman" w:hAnsi="Times New Roman"/>
          <w:b/>
          <w:u w:val="single"/>
          <w:lang w:val="en"/>
        </w:rPr>
        <w:t>psf</w:t>
      </w:r>
      <w:proofErr w:type="spellEnd"/>
      <w:r w:rsidRPr="00004B2D">
        <w:rPr>
          <w:rFonts w:ascii="Times New Roman" w:hAnsi="Times New Roman"/>
          <w:b/>
          <w:u w:val="single"/>
          <w:lang w:val="en"/>
        </w:rPr>
        <w:t xml:space="preserve"> &amp; </w:t>
      </w:r>
      <w:proofErr w:type="spellStart"/>
      <w:r w:rsidRPr="00004B2D">
        <w:rPr>
          <w:rFonts w:ascii="Times New Roman" w:hAnsi="Times New Roman"/>
          <w:b/>
          <w:u w:val="single"/>
          <w:lang w:val="en"/>
        </w:rPr>
        <w:t>pcf</w:t>
      </w:r>
      <w:proofErr w:type="spellEnd"/>
      <w:r w:rsidRPr="00004B2D">
        <w:rPr>
          <w:rFonts w:ascii="Times New Roman" w:hAnsi="Times New Roman"/>
          <w:b/>
          <w:u w:val="single"/>
          <w:lang w:val="en"/>
        </w:rPr>
        <w:t>/kg/m3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 xml:space="preserve">Density Per Area: 78.8 </w:t>
      </w:r>
      <w:proofErr w:type="spellStart"/>
      <w:r w:rsidRPr="00004B2D">
        <w:rPr>
          <w:rFonts w:ascii="Times New Roman" w:hAnsi="Times New Roman"/>
          <w:lang w:val="en"/>
        </w:rPr>
        <w:t>pcf</w:t>
      </w:r>
      <w:proofErr w:type="spellEnd"/>
      <w:r w:rsidRPr="00004B2D">
        <w:rPr>
          <w:rFonts w:ascii="Times New Roman" w:hAnsi="Times New Roman"/>
          <w:lang w:val="en"/>
        </w:rPr>
        <w:t>/1282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32B91B21"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CC51F0"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35F389B9"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w:t>
      </w:r>
      <w:proofErr w:type="spellStart"/>
      <w:r w:rsidRPr="00004B2D">
        <w:rPr>
          <w:rFonts w:ascii="Times New Roman" w:hAnsi="Times New Roman"/>
          <w:color w:val="000000"/>
        </w:rPr>
        <w:t>Chemrex</w:t>
      </w:r>
      <w:proofErr w:type="spellEnd"/>
      <w:r w:rsidRPr="00004B2D">
        <w:rPr>
          <w:rFonts w:ascii="Times New Roman" w:hAnsi="Times New Roman"/>
          <w:color w:val="000000"/>
        </w:rPr>
        <w:t xml:space="preserve"> 948 Urethane (glue), shall be a one-part binder, requiring no </w:t>
      </w:r>
      <w:r w:rsidR="00CC51F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3B50962A"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6E7CB3" w:rsidRPr="00004B2D">
        <w:rPr>
          <w:rFonts w:ascii="Times New Roman" w:hAnsi="Times New Roman"/>
          <w:color w:val="000000"/>
        </w:rPr>
        <w:t>“</w:t>
      </w:r>
      <w:r w:rsidR="00EC7951">
        <w:rPr>
          <w:rFonts w:ascii="Times New Roman" w:hAnsi="Times New Roman"/>
          <w:color w:val="000000"/>
        </w:rPr>
        <w:t>XL</w:t>
      </w:r>
      <w:r w:rsidR="006E7CB3">
        <w:rPr>
          <w:rFonts w:ascii="Times New Roman" w:hAnsi="Times New Roman"/>
          <w:color w:val="000000"/>
        </w:rPr>
        <w:t xml:space="preserve"> </w:t>
      </w:r>
      <w:r w:rsidR="00EC7951">
        <w:rPr>
          <w:rFonts w:ascii="Times New Roman" w:hAnsi="Times New Roman"/>
          <w:color w:val="000000"/>
        </w:rPr>
        <w:t>4”</w:t>
      </w:r>
      <w:r w:rsidR="006E7CB3" w:rsidRPr="00004B2D">
        <w:rPr>
          <w:rFonts w:ascii="Times New Roman" w:hAnsi="Times New Roman"/>
          <w:color w:val="000000"/>
        </w:rPr>
        <w:t xml:space="preserve"> </w:t>
      </w:r>
      <w:r w:rsidRPr="00004B2D">
        <w:rPr>
          <w:rFonts w:ascii="Times New Roman" w:hAnsi="Times New Roman"/>
          <w:color w:val="000000"/>
        </w:rPr>
        <w:t xml:space="preserve">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8" w:name="OLE_LINK71"/>
      <w:bookmarkStart w:id="9" w:name="OLE_LINK72"/>
      <w:bookmarkStart w:id="10" w:name="OLE_LINK73"/>
      <w:bookmarkStart w:id="11" w:name="OLE_LINK46"/>
      <w:bookmarkStart w:id="12"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8"/>
      <w:bookmarkEnd w:id="9"/>
      <w:bookmarkEnd w:id="10"/>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3" w:name="OLE_LINK74"/>
      <w:bookmarkStart w:id="14" w:name="OLE_LINK75"/>
      <w:r w:rsidRPr="00004B2D">
        <w:rPr>
          <w:rFonts w:ascii="Times New Roman" w:hAnsi="Times New Roman"/>
        </w:rPr>
        <w:t xml:space="preserve">Tiles/mats/blocks/pavers </w:t>
      </w:r>
      <w:bookmarkEnd w:id="13"/>
      <w:bookmarkEnd w:id="14"/>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11"/>
      <w:bookmarkEnd w:id="12"/>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5BEF85B6" w:rsidR="00F97846" w:rsidRPr="00004B2D" w:rsidRDefault="00F97846" w:rsidP="00F97846">
      <w:pPr>
        <w:pStyle w:val="NormalWeb"/>
        <w:rPr>
          <w:lang w:val="en"/>
        </w:rPr>
      </w:pPr>
      <w:r w:rsidRPr="00004B2D">
        <w:rPr>
          <w:lang w:val="en"/>
        </w:rPr>
        <w:t>Maintain a straight line at the product</w:t>
      </w:r>
      <w:r w:rsidR="00EC7951">
        <w:rPr>
          <w:lang w:val="en"/>
        </w:rPr>
        <w:t>’</w:t>
      </w:r>
      <w:bookmarkStart w:id="15" w:name="_GoBack"/>
      <w:bookmarkEnd w:id="15"/>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6" w:name="OLE_LINK48"/>
      <w:bookmarkStart w:id="17" w:name="OLE_LINK49"/>
      <w:bookmarkStart w:id="18"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6"/>
    <w:bookmarkEnd w:id="17"/>
    <w:bookmarkEnd w:id="18"/>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9" w:name="OLE_LINK36"/>
      <w:bookmarkStart w:id="20"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9"/>
      <w:bookmarkEnd w:id="20"/>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41C9" w14:textId="77777777" w:rsidR="009A4BE8" w:rsidRDefault="009A4BE8">
      <w:r>
        <w:separator/>
      </w:r>
    </w:p>
  </w:endnote>
  <w:endnote w:type="continuationSeparator" w:id="0">
    <w:p w14:paraId="50BF65F0" w14:textId="77777777" w:rsidR="009A4BE8" w:rsidRDefault="009A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9A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9A4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9A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36BC1" w14:textId="77777777" w:rsidR="009A4BE8" w:rsidRDefault="009A4BE8">
      <w:r>
        <w:separator/>
      </w:r>
    </w:p>
  </w:footnote>
  <w:footnote w:type="continuationSeparator" w:id="0">
    <w:p w14:paraId="598DD958" w14:textId="77777777" w:rsidR="009A4BE8" w:rsidRDefault="009A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9A4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9A4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9A4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97F00"/>
    <w:rsid w:val="000F2340"/>
    <w:rsid w:val="001E6339"/>
    <w:rsid w:val="00216D06"/>
    <w:rsid w:val="00283BD0"/>
    <w:rsid w:val="00361205"/>
    <w:rsid w:val="003B12DC"/>
    <w:rsid w:val="004876C4"/>
    <w:rsid w:val="004C115F"/>
    <w:rsid w:val="004D3EA7"/>
    <w:rsid w:val="005546B7"/>
    <w:rsid w:val="00677049"/>
    <w:rsid w:val="006E7CB3"/>
    <w:rsid w:val="00711A30"/>
    <w:rsid w:val="00866EE1"/>
    <w:rsid w:val="00897DBB"/>
    <w:rsid w:val="009A4BE8"/>
    <w:rsid w:val="00B100E3"/>
    <w:rsid w:val="00C901ED"/>
    <w:rsid w:val="00CC51F0"/>
    <w:rsid w:val="00D07CE2"/>
    <w:rsid w:val="00D72FEC"/>
    <w:rsid w:val="00D861F5"/>
    <w:rsid w:val="00D954A0"/>
    <w:rsid w:val="00E046E9"/>
    <w:rsid w:val="00EC7951"/>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2</cp:revision>
  <dcterms:created xsi:type="dcterms:W3CDTF">2020-04-13T17:54:00Z</dcterms:created>
  <dcterms:modified xsi:type="dcterms:W3CDTF">2020-04-13T17:54:00Z</dcterms:modified>
</cp:coreProperties>
</file>